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9B" w:rsidRDefault="00F767B9">
      <w:pPr>
        <w:pStyle w:val="4"/>
        <w:widowControl/>
        <w:jc w:val="center"/>
        <w:rPr>
          <w:rFonts w:ascii="微软雅黑" w:eastAsia="微软雅黑" w:hAnsi="微软雅黑" w:cs="微软雅黑" w:hint="default"/>
          <w:color w:val="000000"/>
          <w:sz w:val="30"/>
          <w:szCs w:val="30"/>
        </w:rPr>
      </w:pPr>
      <w:r>
        <w:rPr>
          <w:rFonts w:ascii="微软雅黑" w:eastAsia="微软雅黑" w:hAnsi="微软雅黑" w:cs="微软雅黑"/>
          <w:color w:val="000000"/>
          <w:sz w:val="30"/>
          <w:szCs w:val="30"/>
        </w:rPr>
        <w:t>生化学院202</w:t>
      </w:r>
      <w:r w:rsidR="004F74BD">
        <w:rPr>
          <w:rFonts w:ascii="微软雅黑" w:eastAsia="微软雅黑" w:hAnsi="微软雅黑" w:cs="微软雅黑"/>
          <w:color w:val="000000"/>
          <w:sz w:val="30"/>
          <w:szCs w:val="30"/>
        </w:rPr>
        <w:t>1</w:t>
      </w:r>
      <w:r>
        <w:rPr>
          <w:rFonts w:ascii="微软雅黑" w:eastAsia="微软雅黑" w:hAnsi="微软雅黑" w:cs="微软雅黑"/>
          <w:color w:val="000000"/>
          <w:sz w:val="30"/>
          <w:szCs w:val="30"/>
        </w:rPr>
        <w:t>年度“课程思政”建设项目评审结果公示</w:t>
      </w:r>
    </w:p>
    <w:p w:rsidR="00EE4F9B" w:rsidRDefault="00085CF2">
      <w:pPr>
        <w:widowControl/>
        <w:rPr>
          <w:rFonts w:ascii="微软雅黑" w:eastAsia="微软雅黑" w:hAnsi="微软雅黑" w:cs="微软雅黑"/>
          <w:color w:val="000000"/>
          <w:sz w:val="24"/>
        </w:rPr>
      </w:pPr>
      <w:r w:rsidRPr="00085CF2">
        <w:rPr>
          <w:rFonts w:ascii="微软雅黑" w:eastAsia="微软雅黑" w:hAnsi="微软雅黑" w:cs="微软雅黑"/>
          <w:color w:val="000000"/>
          <w:sz w:val="24"/>
        </w:rPr>
        <w:pict>
          <v:rect id="_x0000_i1025" style="width:6in;height:.75pt" o:hralign="center" o:hrstd="t" o:hrnoshade="t" o:hr="t" fillcolor="black" stroked="f"/>
        </w:pict>
      </w:r>
    </w:p>
    <w:p w:rsidR="00EE4F9B" w:rsidRDefault="00EE4F9B">
      <w:pPr>
        <w:widowControl/>
        <w:jc w:val="left"/>
      </w:pPr>
    </w:p>
    <w:p w:rsidR="00EE4F9B" w:rsidRDefault="00F767B9">
      <w:pPr>
        <w:widowControl/>
        <w:spacing w:line="540" w:lineRule="atLeast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院内各单位:</w:t>
      </w:r>
    </w:p>
    <w:p w:rsidR="00EE4F9B" w:rsidRDefault="00F767B9">
      <w:pPr>
        <w:widowControl/>
        <w:spacing w:line="540" w:lineRule="atLeast"/>
        <w:ind w:firstLine="555"/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 </w:t>
      </w:r>
      <w:r w:rsidR="00F74AD7"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  <w:t>近日</w:t>
      </w: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，在</w:t>
      </w:r>
      <w:r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  <w:t>生化学院第二</w:t>
      </w: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会议室召开了20</w:t>
      </w:r>
      <w:r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  <w:t>2</w:t>
      </w:r>
      <w:r w:rsidR="004F74BD"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  <w:t>度“课程思政”建设项目评审</w:t>
      </w: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会。</w:t>
      </w:r>
      <w:r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  <w:t>经专家评阅、讨论和打分</w:t>
      </w: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  <w:t>拟建设项目</w:t>
      </w: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如下：</w:t>
      </w:r>
    </w:p>
    <w:tbl>
      <w:tblPr>
        <w:tblStyle w:val="a3"/>
        <w:tblW w:w="5000" w:type="pct"/>
        <w:tblLook w:val="04A0"/>
      </w:tblPr>
      <w:tblGrid>
        <w:gridCol w:w="1101"/>
        <w:gridCol w:w="1416"/>
        <w:gridCol w:w="1560"/>
        <w:gridCol w:w="4445"/>
      </w:tblGrid>
      <w:tr w:rsidR="004F74BD" w:rsidTr="004F74BD">
        <w:tc>
          <w:tcPr>
            <w:tcW w:w="646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序号</w:t>
            </w:r>
          </w:p>
        </w:tc>
        <w:tc>
          <w:tcPr>
            <w:tcW w:w="831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所属</w:t>
            </w:r>
            <w:r w:rsidRPr="00E069A0">
              <w:rPr>
                <w:rFonts w:ascii="宋体" w:eastAsia="宋体" w:hAnsi="宋体" w:cs="宋体" w:hint="eastAsia"/>
                <w:sz w:val="24"/>
              </w:rPr>
              <w:t>教研室</w:t>
            </w:r>
          </w:p>
        </w:tc>
        <w:tc>
          <w:tcPr>
            <w:tcW w:w="915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负责人</w:t>
            </w:r>
          </w:p>
        </w:tc>
        <w:tc>
          <w:tcPr>
            <w:tcW w:w="2608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</w:t>
            </w:r>
            <w:r w:rsidRPr="00E069A0">
              <w:rPr>
                <w:rFonts w:ascii="宋体" w:eastAsia="宋体" w:hAnsi="宋体" w:cs="宋体" w:hint="eastAsia"/>
                <w:sz w:val="24"/>
              </w:rPr>
              <w:t>名称</w:t>
            </w:r>
          </w:p>
        </w:tc>
      </w:tr>
      <w:tr w:rsidR="004F74BD" w:rsidTr="004F74BD">
        <w:tc>
          <w:tcPr>
            <w:tcW w:w="646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831" w:type="pct"/>
            <w:vMerge w:val="restar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化工</w:t>
            </w:r>
          </w:p>
        </w:tc>
        <w:tc>
          <w:tcPr>
            <w:tcW w:w="915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刘建连</w:t>
            </w:r>
          </w:p>
        </w:tc>
        <w:tc>
          <w:tcPr>
            <w:tcW w:w="2608" w:type="pct"/>
          </w:tcPr>
          <w:p w:rsidR="004F74BD" w:rsidRPr="00E069A0" w:rsidRDefault="004F74BD" w:rsidP="005B0ED2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工程综合实训</w:t>
            </w:r>
          </w:p>
        </w:tc>
      </w:tr>
      <w:tr w:rsidR="004F74BD" w:rsidTr="004F74BD">
        <w:tc>
          <w:tcPr>
            <w:tcW w:w="646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831" w:type="pct"/>
            <w:vMerge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5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李朝艳</w:t>
            </w:r>
          </w:p>
        </w:tc>
        <w:tc>
          <w:tcPr>
            <w:tcW w:w="2608" w:type="pct"/>
          </w:tcPr>
          <w:p w:rsidR="004F74BD" w:rsidRPr="00E069A0" w:rsidRDefault="004F74BD" w:rsidP="005B0ED2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《</w:t>
            </w:r>
            <w:r w:rsidRPr="00E069A0">
              <w:rPr>
                <w:rFonts w:ascii="仿宋_GB2312" w:hint="eastAsia"/>
                <w:sz w:val="24"/>
              </w:rPr>
              <w:t>化工原理课程设计</w:t>
            </w:r>
            <w:r w:rsidRPr="00E069A0">
              <w:rPr>
                <w:rFonts w:ascii="宋体" w:eastAsia="宋体" w:hAnsi="宋体" w:cs="宋体" w:hint="eastAsia"/>
                <w:sz w:val="24"/>
              </w:rPr>
              <w:t>》</w:t>
            </w:r>
            <w:r w:rsidRPr="00E069A0">
              <w:rPr>
                <w:rFonts w:ascii="仿宋_GB2312" w:hint="eastAsia"/>
                <w:sz w:val="24"/>
              </w:rPr>
              <w:t>课程思政的研究与实践</w:t>
            </w:r>
          </w:p>
        </w:tc>
      </w:tr>
      <w:tr w:rsidR="004F74BD" w:rsidTr="004F74BD">
        <w:tc>
          <w:tcPr>
            <w:tcW w:w="646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831" w:type="pct"/>
            <w:vMerge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5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宋伟</w:t>
            </w:r>
          </w:p>
        </w:tc>
        <w:tc>
          <w:tcPr>
            <w:tcW w:w="2608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《化工设备设计》课程思政建设项目</w:t>
            </w:r>
          </w:p>
        </w:tc>
      </w:tr>
      <w:tr w:rsidR="004F74BD" w:rsidTr="004F74BD">
        <w:tc>
          <w:tcPr>
            <w:tcW w:w="646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831" w:type="pct"/>
            <w:vMerge w:val="restar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应化</w:t>
            </w:r>
          </w:p>
        </w:tc>
        <w:tc>
          <w:tcPr>
            <w:tcW w:w="915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黄可心</w:t>
            </w:r>
          </w:p>
        </w:tc>
        <w:tc>
          <w:tcPr>
            <w:tcW w:w="2608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专业综合实验</w:t>
            </w:r>
          </w:p>
        </w:tc>
      </w:tr>
      <w:tr w:rsidR="004F74BD" w:rsidTr="004F74BD">
        <w:tc>
          <w:tcPr>
            <w:tcW w:w="646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831" w:type="pct"/>
            <w:vMerge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5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杜佳</w:t>
            </w:r>
          </w:p>
        </w:tc>
        <w:tc>
          <w:tcPr>
            <w:tcW w:w="2608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化工过程仿真实训</w:t>
            </w:r>
          </w:p>
        </w:tc>
      </w:tr>
      <w:tr w:rsidR="004F74BD" w:rsidTr="004F74BD">
        <w:tc>
          <w:tcPr>
            <w:tcW w:w="646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831" w:type="pct"/>
            <w:vMerge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5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曹英寒</w:t>
            </w:r>
          </w:p>
        </w:tc>
        <w:tc>
          <w:tcPr>
            <w:tcW w:w="2608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认识实习</w:t>
            </w:r>
          </w:p>
        </w:tc>
      </w:tr>
      <w:tr w:rsidR="004F74BD" w:rsidTr="004F74BD">
        <w:tc>
          <w:tcPr>
            <w:tcW w:w="646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831" w:type="pct"/>
            <w:vMerge w:val="restar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生物</w:t>
            </w:r>
          </w:p>
        </w:tc>
        <w:tc>
          <w:tcPr>
            <w:tcW w:w="915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贾永鹏</w:t>
            </w:r>
          </w:p>
        </w:tc>
        <w:tc>
          <w:tcPr>
            <w:tcW w:w="2608" w:type="pct"/>
          </w:tcPr>
          <w:p w:rsidR="004F74BD" w:rsidRPr="00E069A0" w:rsidRDefault="004F74BD" w:rsidP="005B0ED2">
            <w:pPr>
              <w:adjustRightInd w:val="0"/>
              <w:snapToGrid w:val="0"/>
              <w:spacing w:line="276" w:lineRule="auto"/>
              <w:ind w:left="1920" w:hangingChars="800" w:hanging="1920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《生物工程综合实验》课程中融入课程思政的探索</w:t>
            </w:r>
          </w:p>
        </w:tc>
      </w:tr>
      <w:tr w:rsidR="004F74BD" w:rsidTr="004F74BD">
        <w:tc>
          <w:tcPr>
            <w:tcW w:w="646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831" w:type="pct"/>
            <w:vMerge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5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王来友</w:t>
            </w:r>
          </w:p>
        </w:tc>
        <w:tc>
          <w:tcPr>
            <w:tcW w:w="2608" w:type="pct"/>
          </w:tcPr>
          <w:p w:rsidR="004F74BD" w:rsidRPr="00E069A0" w:rsidRDefault="004F74BD" w:rsidP="005B0ED2">
            <w:pPr>
              <w:adjustRightInd w:val="0"/>
              <w:snapToGrid w:val="0"/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认识实习课程思政探索</w:t>
            </w:r>
          </w:p>
        </w:tc>
      </w:tr>
      <w:tr w:rsidR="004F74BD" w:rsidTr="004F74BD">
        <w:tc>
          <w:tcPr>
            <w:tcW w:w="646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831" w:type="pct"/>
            <w:vMerge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5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于海彦</w:t>
            </w:r>
          </w:p>
        </w:tc>
        <w:tc>
          <w:tcPr>
            <w:tcW w:w="2608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生产实习课程思政建设探索与实践</w:t>
            </w:r>
          </w:p>
        </w:tc>
      </w:tr>
      <w:tr w:rsidR="004F74BD" w:rsidTr="004F74BD">
        <w:tc>
          <w:tcPr>
            <w:tcW w:w="646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831" w:type="pct"/>
            <w:vMerge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5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仿宋_GB2312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李慧星</w:t>
            </w:r>
          </w:p>
        </w:tc>
        <w:tc>
          <w:tcPr>
            <w:tcW w:w="2608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仿宋_GB2312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生物反应工程与设备设计实训</w:t>
            </w:r>
          </w:p>
        </w:tc>
      </w:tr>
      <w:tr w:rsidR="004F74BD" w:rsidTr="004F74BD">
        <w:tc>
          <w:tcPr>
            <w:tcW w:w="646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  <w:r w:rsidRPr="00E069A0"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831" w:type="pct"/>
            <w:vMerge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15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仿宋_GB2312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阮晨</w:t>
            </w:r>
          </w:p>
        </w:tc>
        <w:tc>
          <w:tcPr>
            <w:tcW w:w="2608" w:type="pct"/>
          </w:tcPr>
          <w:p w:rsidR="004F74BD" w:rsidRPr="00E069A0" w:rsidRDefault="004F74BD" w:rsidP="005B0ED2">
            <w:pPr>
              <w:spacing w:line="276" w:lineRule="auto"/>
              <w:jc w:val="center"/>
              <w:rPr>
                <w:rFonts w:ascii="仿宋_GB2312"/>
                <w:sz w:val="24"/>
              </w:rPr>
            </w:pPr>
            <w:r w:rsidRPr="00E069A0">
              <w:rPr>
                <w:rFonts w:ascii="仿宋_GB2312" w:hint="eastAsia"/>
                <w:sz w:val="24"/>
              </w:rPr>
              <w:t>《毕业实习与工程设计》贯彻“课程思政”理念的探索与实践</w:t>
            </w:r>
          </w:p>
        </w:tc>
      </w:tr>
    </w:tbl>
    <w:p w:rsidR="004F74BD" w:rsidRDefault="004F74BD">
      <w:pPr>
        <w:widowControl/>
        <w:spacing w:line="540" w:lineRule="atLeast"/>
        <w:ind w:firstLine="555"/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</w:pPr>
    </w:p>
    <w:p w:rsidR="00EE4F9B" w:rsidRDefault="00F767B9">
      <w:pPr>
        <w:widowControl/>
        <w:spacing w:line="540" w:lineRule="atLeast"/>
        <w:ind w:firstLine="56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以上结果公示</w:t>
      </w:r>
      <w:r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  <w:t>三</w:t>
      </w: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天，若有异议，请向生化学院</w:t>
      </w:r>
      <w:r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  <w:t>教务办</w:t>
      </w: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反映。</w:t>
      </w:r>
    </w:p>
    <w:p w:rsidR="00EE4F9B" w:rsidRDefault="00F767B9">
      <w:pPr>
        <w:widowControl/>
        <w:spacing w:line="540" w:lineRule="atLeast"/>
        <w:ind w:firstLine="560"/>
        <w:jc w:val="lef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电话:6207</w:t>
      </w:r>
      <w:r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  <w:t>3705</w:t>
      </w:r>
      <w:bookmarkStart w:id="0" w:name="_GoBack"/>
      <w:bookmarkEnd w:id="0"/>
    </w:p>
    <w:p w:rsidR="00EE4F9B" w:rsidRDefault="00EE4F9B">
      <w:pPr>
        <w:widowControl/>
        <w:spacing w:line="540" w:lineRule="atLeast"/>
        <w:ind w:firstLine="560"/>
        <w:jc w:val="left"/>
        <w:rPr>
          <w:rFonts w:ascii="Calibri" w:hAnsi="Calibri" w:cs="Calibri"/>
          <w:szCs w:val="21"/>
        </w:rPr>
      </w:pPr>
    </w:p>
    <w:p w:rsidR="00EE4F9B" w:rsidRDefault="00F767B9">
      <w:pPr>
        <w:widowControl/>
        <w:spacing w:line="540" w:lineRule="atLeast"/>
        <w:ind w:right="560" w:firstLine="555"/>
        <w:jc w:val="right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生物与化学工程学院</w:t>
      </w:r>
    </w:p>
    <w:p w:rsidR="00EE4F9B" w:rsidRDefault="00F767B9">
      <w:pPr>
        <w:widowControl/>
        <w:spacing w:line="540" w:lineRule="atLeast"/>
        <w:ind w:right="560" w:firstLine="555"/>
        <w:jc w:val="center"/>
        <w:rPr>
          <w:rFonts w:ascii="Calibri" w:hAnsi="Calibri" w:cs="Calibri"/>
          <w:szCs w:val="21"/>
        </w:rPr>
      </w:pP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                                </w:t>
      </w:r>
      <w:r w:rsidR="007739A8"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 xml:space="preserve"> 20</w:t>
      </w:r>
      <w:r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  <w:t>2</w:t>
      </w:r>
      <w:r w:rsidR="004F74BD"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年</w:t>
      </w:r>
      <w:r w:rsidR="004F74BD"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  <w:t>11</w:t>
      </w: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月</w:t>
      </w:r>
      <w:r w:rsidR="004F74BD">
        <w:rPr>
          <w:rFonts w:ascii="仿宋_GB2312" w:eastAsia="仿宋_GB2312" w:hAnsi="Calibri" w:cs="仿宋_GB2312" w:hint="eastAsia"/>
          <w:color w:val="000000"/>
          <w:kern w:val="0"/>
          <w:sz w:val="28"/>
          <w:szCs w:val="28"/>
        </w:rPr>
        <w:t>15</w:t>
      </w:r>
      <w:r>
        <w:rPr>
          <w:rFonts w:ascii="仿宋_GB2312" w:eastAsia="仿宋_GB2312" w:hAnsi="Calibri" w:cs="仿宋_GB2312"/>
          <w:color w:val="000000"/>
          <w:kern w:val="0"/>
          <w:sz w:val="28"/>
          <w:szCs w:val="28"/>
        </w:rPr>
        <w:t>日</w:t>
      </w:r>
    </w:p>
    <w:p w:rsidR="00EE4F9B" w:rsidRDefault="00EE4F9B"/>
    <w:sectPr w:rsidR="00EE4F9B" w:rsidSect="00EE4F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F7B" w:rsidRDefault="00711F7B" w:rsidP="007739A8">
      <w:r>
        <w:separator/>
      </w:r>
    </w:p>
  </w:endnote>
  <w:endnote w:type="continuationSeparator" w:id="1">
    <w:p w:rsidR="00711F7B" w:rsidRDefault="00711F7B" w:rsidP="00773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F7B" w:rsidRDefault="00711F7B" w:rsidP="007739A8">
      <w:r>
        <w:separator/>
      </w:r>
    </w:p>
  </w:footnote>
  <w:footnote w:type="continuationSeparator" w:id="1">
    <w:p w:rsidR="00711F7B" w:rsidRDefault="00711F7B" w:rsidP="007739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4F9B"/>
    <w:rsid w:val="00085CF2"/>
    <w:rsid w:val="004F74BD"/>
    <w:rsid w:val="005B128C"/>
    <w:rsid w:val="00711F7B"/>
    <w:rsid w:val="007739A8"/>
    <w:rsid w:val="00EE4F9B"/>
    <w:rsid w:val="00F74AD7"/>
    <w:rsid w:val="00F767B9"/>
    <w:rsid w:val="015602B2"/>
    <w:rsid w:val="2907127C"/>
    <w:rsid w:val="2E4A2485"/>
    <w:rsid w:val="38C81411"/>
    <w:rsid w:val="3D2E0639"/>
    <w:rsid w:val="3FE434D0"/>
    <w:rsid w:val="5F4C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F9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EE4F9B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E4F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E4F9B"/>
    <w:rPr>
      <w:color w:val="0000FF"/>
      <w:u w:val="single"/>
    </w:rPr>
  </w:style>
  <w:style w:type="paragraph" w:styleId="a5">
    <w:name w:val="header"/>
    <w:basedOn w:val="a"/>
    <w:link w:val="Char"/>
    <w:rsid w:val="00773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739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73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739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2014-10-29T12:08:00Z</dcterms:created>
  <dcterms:modified xsi:type="dcterms:W3CDTF">2021-11-15T01:23:00Z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